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highlight w:val="white"/>
          <w14:textFill>
            <w14:solidFill>
              <w14:schemeClr w14:val="tx1"/>
            </w14:solidFill>
          </w14:textFill>
        </w:rPr>
      </w:pPr>
      <w:r>
        <w:rPr>
          <w:rFonts w:hint="eastAsia" w:ascii="黑体" w:hAnsi="华文中宋" w:eastAsia="黑体"/>
          <w:bCs/>
          <w:color w:val="000000" w:themeColor="text1"/>
          <w:spacing w:val="20"/>
          <w:sz w:val="52"/>
          <w:szCs w:val="5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JSZC-320200-XWJC-G2025-0114</w:t>
      </w:r>
      <w:r/>
    </w:p>
    <w:p>
      <w:pPr>
        <w:ind w:left="3200"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江南大学附属医院透视摄影X射线机项目</w:t>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人：江南大学附属医院</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二〇二五年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十一</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513029200"/>
      <w:r/>
      <w:bookmarkStart w:id="3" w:name="_Toc20823272"/>
      <w:r/>
      <w:bookmarkStart w:id="4" w:name="_Toc523127445"/>
      <w:r/>
      <w:bookmarkStart w:id="5" w:name="_Toc16938516"/>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评标方法与评标标准-----------------------（36）</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投标文件内容与格式-----------------------（41）</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r>
      <w:r/>
    </w:p>
    <w:p>
      <w:pPr>
        <w:pStyle w:val="735"/>
        <w:ind w:firstLine="0"/>
        <w:rPr>
          <w:highlight w:val="white"/>
        </w:rPr>
      </w:pPr>
      <w:r>
        <w:rPr>
          <w:highlight w:val="white"/>
        </w:rPr>
      </w:r>
      <w:r/>
    </w:p>
    <w:p>
      <w:pPr>
        <w:pStyle w:val="735"/>
        <w:ind w:firstLine="0"/>
        <w:rPr>
          <w:highlight w:val="white"/>
        </w:rPr>
      </w:pPr>
      <w:r>
        <w:rPr>
          <w:highlight w:val="white"/>
        </w:rPr>
      </w:r>
      <w:r/>
    </w:p>
    <w:p>
      <w:pPr>
        <w:pStyle w:val="735"/>
        <w:ind w:firstLine="0"/>
        <w:rPr>
          <w:highlight w:val="white"/>
        </w:rPr>
      </w:pPr>
      <w:r>
        <w:rPr>
          <w:highlight w:val="white"/>
        </w:rPr>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江南大学附属医院透视摄影X射线机项目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JSZC-320200-XWJC-G2025-0114</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江南大学附属医院透视摄影X射线机项目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下载的方式依法获取招标文件，并于2025年</w:t>
      </w:r>
      <w:bookmarkStart w:id="202" w:name="_GoBack"/>
      <w:r/>
      <w:bookmarkEnd w:id="202"/>
      <w:r>
        <w:rPr>
          <w:rFonts w:hint="eastAsia" w:ascii="宋体" w:hAnsi="宋体"/>
          <w:color w:val="000000" w:themeColor="text1"/>
          <w:sz w:val="24"/>
          <w:szCs w:val="24"/>
          <w:highlight w:val="white"/>
          <w:lang w:val="en-US" w:eastAsia="zh-CN"/>
          <w14:textFill>
            <w14:solidFill>
              <w14:schemeClr w14:val="tx1"/>
            </w14:solidFill>
          </w14:textFill>
        </w:rPr>
        <w:t xml:space="preserve">12月18日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JSZC-320200-XWJC-G2025-0114</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江南大学附属医院透视摄影X射线机项目</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200</w:t>
      </w:r>
      <w:r>
        <w:rPr>
          <w:rFonts w:hint="eastAsia" w:ascii="宋体" w:hAnsi="宋体"/>
          <w:color w:val="000000" w:themeColor="text1"/>
          <w:sz w:val="24"/>
          <w:szCs w:val="24"/>
          <w:highlight w:val="white"/>
          <w14:textFill>
            <w14:solidFill>
              <w14:schemeClr w14:val="tx1"/>
            </w14:solidFill>
          </w14:textFill>
        </w:rPr>
        <w:t xml:space="preserve">万元/</w:t>
      </w:r>
      <w:r>
        <w:rPr>
          <w:rFonts w:hint="eastAsia" w:ascii="宋体" w:hAnsi="宋体"/>
          <w:color w:val="000000" w:themeColor="text1"/>
          <w:sz w:val="24"/>
          <w:szCs w:val="24"/>
          <w:highlight w:val="whit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196</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5393622"/>
      <w:r/>
      <w:bookmarkStart w:id="13" w:name="_Toc28359080"/>
      <w:r/>
      <w:bookmarkStart w:id="14" w:name="_Toc38985264"/>
      <w:r/>
      <w:bookmarkStart w:id="15" w:name="_Toc28359003"/>
      <w:r/>
      <w:bookmarkStart w:id="16" w:name="_Toc35393791"/>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7" w:name="_Toc28359004"/>
      <w:r/>
      <w:bookmarkStart w:id="18" w:name="_Toc35393623"/>
      <w:r/>
      <w:bookmarkStart w:id="19" w:name="_Toc38985265"/>
      <w:r/>
      <w:bookmarkStart w:id="20" w:name="_Toc28359081"/>
      <w:r/>
      <w:bookmarkStart w:id="21" w:name="_Toc35393792"/>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w:t>
      </w: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4"/>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2025年</w:t>
      </w:r>
      <w:r>
        <w:rPr>
          <w:rFonts w:hint="eastAsia" w:ascii="宋体" w:hAnsi="宋体"/>
          <w:color w:val="000000" w:themeColor="text1"/>
          <w:sz w:val="24"/>
          <w:szCs w:val="24"/>
          <w:highlight w:val="white"/>
          <w:lang w:val="en-US" w:eastAsia="zh-CN"/>
          <w14:textFill>
            <w14:solidFill>
              <w14:schemeClr w14:val="tx1"/>
            </w14:solidFill>
          </w14:textFill>
        </w:rPr>
        <w:t xml:space="preserve">12月18日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625"/>
      <w:r/>
      <w:bookmarkStart w:id="28" w:name="_Toc28359084"/>
      <w:r/>
      <w:bookmarkStart w:id="29" w:name="_Toc35393794"/>
      <w:r/>
      <w:bookmarkStart w:id="30" w:name="_Toc38985267"/>
      <w:r/>
      <w:bookmarkStart w:id="31" w:name="_Toc2835900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5393796"/>
      <w:r/>
      <w:bookmarkStart w:id="36" w:name="_Toc38985269"/>
      <w:r/>
      <w:bookmarkStart w:id="37" w:name="_Toc35393627"/>
      <w:r/>
      <w:bookmarkStart w:id="38" w:name="_Toc28359008"/>
      <w:r/>
      <w:bookmarkStart w:id="39" w:name="_Toc28359085"/>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陆</w:t>
      </w:r>
      <w:r>
        <w:rPr>
          <w:rFonts w:hint="eastAsia" w:ascii="宋体" w:hAnsi="宋体" w:cs="宋体"/>
          <w:color w:val="000000" w:themeColor="text1"/>
          <w:sz w:val="24"/>
          <w:szCs w:val="24"/>
          <w:highlight w:val="white"/>
          <w14:textFill>
            <w14:solidFill>
              <w14:schemeClr w14:val="tx1"/>
            </w14:solidFill>
          </w14:textFill>
        </w:rPr>
        <w:t xml:space="preserve">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6938519"/>
      <w:r/>
      <w:bookmarkStart w:id="48" w:name="_Toc20823275"/>
      <w:r/>
      <w:bookmarkStart w:id="49" w:name="_Toc120614214"/>
      <w:r/>
      <w:bookmarkStart w:id="50" w:name="_Toc513029203"/>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5" w:name="_Toc513029205"/>
      <w:r/>
      <w:bookmarkStart w:id="56" w:name="_Toc20823277"/>
      <w:r/>
      <w:bookmarkStart w:id="57"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8" w:name="_Toc20823278"/>
      <w:r/>
      <w:bookmarkStart w:id="59" w:name="_Toc16938522"/>
      <w:r/>
      <w:bookmarkStart w:id="60"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1" w:name="_Toc462564067"/>
      <w:r/>
      <w:bookmarkStart w:id="62" w:name="_Toc16938523"/>
      <w:r/>
      <w:bookmarkStart w:id="63" w:name="_Toc513029207"/>
      <w:r/>
      <w:bookmarkStart w:id="64" w:name="_Toc20823279"/>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20823281"/>
      <w:r/>
      <w:bookmarkStart w:id="66" w:name="_Toc513029209"/>
      <w:r/>
      <w:bookmarkStart w:id="67" w:name="_Toc120614215"/>
      <w:r/>
      <w:bookmarkStart w:id="68" w:name="_Toc1693852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2" w:name="_Toc462564070"/>
      <w:r/>
      <w:bookmarkStart w:id="73" w:name="_Toc513029211"/>
      <w:r/>
      <w:bookmarkStart w:id="74" w:name="_Toc16938527"/>
      <w:r/>
      <w:bookmarkStart w:id="75" w:name="_Toc20823283"/>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w:t>
      </w:r>
      <w:r>
        <w:rPr>
          <w:rFonts w:hint="eastAsia" w:ascii="宋体" w:hAnsi="宋体"/>
          <w:bCs/>
          <w:color w:val="000000"/>
          <w:sz w:val="24"/>
          <w:highlight w:val="whit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6" w:name="_Toc513029212"/>
      <w:r/>
      <w:bookmarkStart w:id="77" w:name="_Toc16938528"/>
      <w:r/>
      <w:bookmarkStart w:id="78" w:name="_Toc462564071"/>
      <w:r/>
      <w:bookmarkStart w:id="79" w:name="_Toc20823284"/>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462564072"/>
      <w:r/>
      <w:bookmarkStart w:id="81" w:name="_Toc120614216"/>
      <w:r/>
      <w:bookmarkStart w:id="82" w:name="_Toc16938529"/>
      <w:r/>
      <w:bookmarkStart w:id="83" w:name="_Toc20823285"/>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5" w:name="_Toc462564073"/>
      <w:r/>
      <w:bookmarkStart w:id="86" w:name="_Toc16938530"/>
      <w:r/>
      <w:bookmarkStart w:id="87" w:name="_Toc20823286"/>
      <w:r/>
      <w:bookmarkStart w:id="88" w:name="_Toc513029214"/>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9" w:name="_Toc462564074"/>
      <w:r/>
      <w:bookmarkStart w:id="90" w:name="_Toc16938531"/>
      <w:r/>
      <w:bookmarkStart w:id="91" w:name="_Toc513029215"/>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513029216"/>
      <w:r/>
      <w:bookmarkStart w:id="97" w:name="_Toc14577354"/>
      <w:r/>
      <w:bookmarkStart w:id="98" w:name="_Toc49090509"/>
      <w:r/>
      <w:bookmarkStart w:id="99" w:name="_Toc513029219"/>
      <w:r/>
      <w:bookmarkStart w:id="100" w:name="_Toc14577357"/>
      <w:r/>
      <w:bookmarkStart w:id="101" w:name="_Toc49090507"/>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8" w:name="_Hlt26670425"/>
      <w:r/>
      <w:bookmarkEnd w:id="108"/>
      <w:r/>
      <w:bookmarkStart w:id="109" w:name="_Hlt26670486"/>
      <w:r/>
      <w:bookmarkEnd w:id="109"/>
      <w:r/>
      <w:bookmarkStart w:id="110" w:name="_Hlt26954731"/>
      <w:r/>
      <w:bookmarkEnd w:id="110"/>
      <w:r/>
      <w:bookmarkStart w:id="111" w:name="_Hlt26954848"/>
      <w:r/>
      <w:bookmarkEnd w:id="111"/>
      <w:r/>
      <w:bookmarkStart w:id="112" w:name="_Hlt26670482"/>
      <w:r/>
      <w:bookmarkEnd w:id="112"/>
      <w:r/>
      <w:bookmarkStart w:id="113" w:name="_Hlt26954846"/>
      <w:r/>
      <w:bookmarkEnd w:id="113"/>
      <w:r/>
      <w:bookmarkStart w:id="114" w:name="_Hlt26954844"/>
      <w:r/>
      <w:bookmarkEnd w:id="114"/>
      <w:r/>
      <w:bookmarkStart w:id="115" w:name="_Hlt26954842"/>
      <w:r/>
      <w:bookmarkEnd w:id="115"/>
      <w:r/>
      <w:bookmarkStart w:id="116" w:name="_Hlt26668983"/>
      <w:r/>
      <w:bookmarkEnd w:id="116"/>
      <w:r/>
      <w:bookmarkStart w:id="117" w:name="_Hlt26670403"/>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513029224"/>
      <w:r/>
      <w:bookmarkStart w:id="126" w:name="_Toc16938540"/>
      <w:r/>
      <w:bookmarkStart w:id="127" w:name="_Toc120614217"/>
      <w:r/>
      <w:bookmarkStart w:id="128" w:name="_Toc20823296"/>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29" w:name="_Toc513029225"/>
      <w:r/>
      <w:bookmarkStart w:id="130" w:name="_Toc462564084"/>
      <w:r/>
      <w:bookmarkStart w:id="131" w:name="_Toc20823297"/>
      <w:r/>
      <w:bookmarkStart w:id="132" w:name="_Toc16938541"/>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60"/>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513029226"/>
      <w:r/>
      <w:bookmarkStart w:id="134" w:name="_Toc20823298"/>
      <w:r/>
      <w:bookmarkStart w:id="135" w:name="_Toc1693854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9" w:name="_Toc16938544"/>
      <w:r/>
      <w:bookmarkStart w:id="140" w:name="_Toc20823300"/>
      <w:r/>
      <w:bookmarkStart w:id="141" w:name="_Toc513029228"/>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513029229"/>
      <w:r/>
      <w:bookmarkStart w:id="144" w:name="_Toc120614218"/>
      <w:r/>
      <w:bookmarkStart w:id="145" w:name="_Toc20823301"/>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9" w:name="_Toc16938547"/>
      <w:r/>
      <w:bookmarkStart w:id="150" w:name="_Toc513029231"/>
      <w:r/>
      <w:bookmarkStart w:id="151" w:name="_Toc20823303"/>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5" w:name="_Toc513029233"/>
      <w:r/>
      <w:bookmarkStart w:id="156" w:name="_Toc16938549"/>
      <w:r/>
      <w:bookmarkStart w:id="157" w:name="_Toc20823305"/>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14:textFill>
            <w14:solidFill>
              <w14:schemeClr w14:val="tx1"/>
            </w14:solidFill>
          </w14:textFill>
        </w:rPr>
      </w:pPr>
      <w:r/>
      <w:bookmarkStart w:id="158" w:name="_Toc513029234"/>
      <w:r/>
      <w:bookmarkStart w:id="159" w:name="_Toc16938550"/>
      <w:r/>
      <w:bookmarkStart w:id="160" w:name="_Toc20823306"/>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4"/>
        <w:ind w:firstLine="422"/>
        <w:keepLines w:val="0"/>
        <w:keepNext w:val="0"/>
        <w:spacing w:before="0" w:after="0" w:line="500" w:lineRule="exact"/>
        <w:rPr>
          <w:rFonts w:hint="eastAsia" w:ascii="宋体" w:hAnsi="宋体" w:eastAsia="宋体" w:cs="Times New Roman"/>
          <w:b w:val="0"/>
          <w:bCs/>
          <w:color w:val="000000" w:themeColor="text1"/>
          <w:sz w:val="24"/>
          <w:szCs w:val="21"/>
          <w:highlight w:val="white"/>
          <w14:textFill>
            <w14:solidFill>
              <w14:schemeClr w14:val="tx1"/>
            </w14:solidFill>
          </w14:textFill>
        </w:rPr>
      </w:pPr>
      <w:r>
        <w:rPr>
          <w:rFonts w:hint="eastAsia" w:ascii="宋体" w:hAnsi="宋体" w:eastAsia="宋体" w:cs="Times New Roman"/>
          <w:b w:val="0"/>
          <w:bCs/>
          <w:color w:val="000000" w:themeColor="text1"/>
          <w:sz w:val="24"/>
          <w:szCs w:val="21"/>
          <w:highlight w:val="whit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white"/>
          <w14:textFill>
            <w14:solidFill>
              <w14:schemeClr w14:val="tx1"/>
            </w14:solidFill>
          </w14:textFill>
        </w:rPr>
      </w:pPr>
      <w:r/>
      <w:bookmarkStart w:id="161" w:name="_Toc16938551"/>
      <w:r/>
      <w:bookmarkStart w:id="162" w:name="_Toc20823307"/>
      <w:r/>
      <w:bookmarkStart w:id="163" w:name="_Toc513029235"/>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513029236"/>
      <w:r/>
      <w:bookmarkStart w:id="171" w:name="_Toc120614220"/>
      <w:r/>
      <w:bookmarkStart w:id="172"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2"/>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20823314"/>
      <w:r/>
      <w:bookmarkStart w:id="177" w:name="_Toc16938558"/>
      <w:r/>
      <w:bookmarkStart w:id="178" w:name="_Toc513029242"/>
      <w:r/>
      <w:bookmarkStart w:id="179" w:name="_Toc120614221"/>
      <w:r/>
      <w:bookmarkStart w:id="180" w:name="_Toc479757207"/>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white"/>
        </w:rPr>
      </w:pPr>
      <w:r/>
      <w:bookmarkStart w:id="181" w:name="_Hlt16619350"/>
      <w:r/>
      <w:bookmarkStart w:id="182" w:name="_Toc120614244"/>
      <w:r/>
      <w:bookmarkStart w:id="183" w:name="_Toc20823346"/>
      <w:r/>
      <w:bookmarkStart w:id="184" w:name="_Toc16938590"/>
      <w:r/>
      <w:bookmarkStart w:id="185" w:name="_Toc479757211"/>
      <w:r/>
      <w:bookmarkStart w:id="186" w:name="_Toc462564139"/>
      <w:r>
        <w:rPr>
          <w:rFonts w:hint="eastAsia" w:ascii="宋体" w:hAnsi="宋体" w:cs="宋体"/>
          <w:bCs/>
          <w:sz w:val="24"/>
          <w:szCs w:val="24"/>
          <w:highlight w:val="white"/>
        </w:rPr>
        <w:t xml:space="preserve">项目名称：</w:t>
      </w:r>
      <w:r/>
    </w:p>
    <w:p>
      <w:pPr>
        <w:jc w:val="left"/>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项目编号：</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甲方：（采购人）_________</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乙方：（成交方）_________</w:t>
      </w:r>
      <w:r/>
    </w:p>
    <w:p>
      <w:pPr>
        <w:ind w:firstLine="480"/>
        <w:spacing w:line="400" w:lineRule="exact"/>
        <w:rPr>
          <w:rFonts w:hint="eastAsia" w:ascii="宋体" w:hAnsi="宋体" w:cs="宋体"/>
          <w:b/>
          <w:sz w:val="24"/>
          <w:szCs w:val="24"/>
          <w:highlight w:val="white"/>
        </w:rPr>
      </w:pPr>
      <w:r>
        <w:rPr>
          <w:rFonts w:hint="eastAsia" w:ascii="宋体" w:hAnsi="宋体" w:cs="宋体"/>
          <w:sz w:val="24"/>
          <w:szCs w:val="24"/>
          <w:highlight w:val="white"/>
        </w:rPr>
        <w:t xml:space="preserve">甲、乙双方根据无锡市卫生健康综合服务中心</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项目招标的结果，签署本合同。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一、合同内容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 采购内容：货物名称、规格型号、数量、单价、成交总价</w:t>
      </w:r>
      <w:r/>
    </w:p>
    <w:tbl>
      <w:tblPr>
        <w:tblStyle w:val="75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数量</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单价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成交总价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72"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50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81"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16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94"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r>
      <w:tr>
        <w:trPr/>
        <w:tc>
          <w:tcPr>
            <w:gridSpan w:val="4"/>
            <w:tcW w:w="5737"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（小写）：</w:t>
            </w:r>
            <w:r/>
          </w:p>
        </w:tc>
      </w:tr>
    </w:tbl>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以上价格均为含税价格。</w:t>
      </w:r>
      <w:r/>
    </w:p>
    <w:p>
      <w:pPr>
        <w:ind w:firstLine="480"/>
        <w:spacing w:line="400" w:lineRule="exact"/>
        <w:rPr>
          <w:rFonts w:hint="eastAsia" w:ascii="宋体" w:hAnsi="宋体" w:cs="宋体"/>
          <w:i/>
          <w:iCs/>
          <w:sz w:val="24"/>
          <w:szCs w:val="24"/>
          <w:highlight w:val="white"/>
        </w:rPr>
      </w:pPr>
      <w:r>
        <w:rPr>
          <w:rFonts w:hint="eastAsia" w:ascii="宋体" w:hAnsi="宋体" w:cs="宋体"/>
          <w:sz w:val="24"/>
          <w:szCs w:val="24"/>
          <w:highlight w:val="white"/>
        </w:rPr>
        <w:t xml:space="preserve">1.2 标的质量与检验：</w:t>
      </w:r>
      <w:r>
        <w:rPr>
          <w:rFonts w:hint="eastAsia" w:ascii="宋体" w:hAnsi="宋体" w:cs="宋体"/>
          <w:i/>
          <w:iCs/>
          <w:sz w:val="24"/>
          <w:szCs w:val="24"/>
          <w:highlight w:val="whit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1.3履行时间（交货或完工期限）：合同生效之日起</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天内，交货并完成安装调试。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1.4履行地点： 甲方</w:t>
      </w:r>
      <w:r>
        <w:rPr>
          <w:rFonts w:hint="eastAsia" w:ascii="宋体" w:hAnsi="宋体" w:cs="宋体"/>
          <w:sz w:val="24"/>
          <w:szCs w:val="24"/>
          <w:highlight w:val="white"/>
        </w:rPr>
        <w:t xml:space="preserve">南院区</w:t>
      </w:r>
      <w:r>
        <w:rPr>
          <w:rFonts w:hint="eastAsia" w:ascii="宋体" w:hAnsi="宋体" w:cs="宋体"/>
          <w:sz w:val="24"/>
          <w:szCs w:val="24"/>
          <w:highlight w:val="white"/>
        </w:rPr>
        <w:t xml:space="preserve">门诊</w:t>
      </w:r>
      <w:r>
        <w:rPr>
          <w:rFonts w:hint="eastAsia" w:ascii="宋体" w:hAnsi="宋体" w:cs="宋体"/>
          <w:sz w:val="24"/>
          <w:szCs w:val="24"/>
          <w:highlight w:val="white"/>
        </w:rPr>
        <w:t xml:space="preserve">五楼</w:t>
      </w:r>
      <w:r>
        <w:rPr>
          <w:rFonts w:hint="eastAsia" w:ascii="宋体" w:hAnsi="宋体" w:cs="宋体"/>
          <w:sz w:val="24"/>
          <w:szCs w:val="24"/>
          <w:highlight w:val="white"/>
        </w:rPr>
        <w:t xml:space="preserve">内镜中心</w:t>
      </w:r>
      <w:r>
        <w:rPr>
          <w:rFonts w:hint="eastAsia" w:ascii="宋体" w:hAnsi="宋体" w:cs="宋体"/>
          <w:sz w:val="24"/>
          <w:szCs w:val="24"/>
          <w:highlight w:val="white"/>
        </w:rPr>
        <w:t xml:space="preserve">。</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1.5.1.3货物交货时，所有货物必须带有装箱单、</w:t>
      </w:r>
      <w:r>
        <w:rPr>
          <w:rFonts w:hint="eastAsia" w:ascii="宋体" w:hAnsi="宋体" w:cs="宋体"/>
          <w:sz w:val="24"/>
          <w:szCs w:val="24"/>
          <w:highlight w:val="whit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whit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1.5.2.3超过</w:t>
      </w:r>
      <w:r>
        <w:rPr>
          <w:rFonts w:hint="eastAsia" w:ascii="宋体" w:hAnsi="宋体" w:cs="宋体"/>
          <w:bCs/>
          <w:sz w:val="24"/>
          <w:szCs w:val="24"/>
          <w:highlight w:val="white"/>
          <w:lang w:val="en-US" w:eastAsia="zh-CN"/>
        </w:rPr>
        <w:t xml:space="preserve">质保</w:t>
      </w:r>
      <w:r>
        <w:rPr>
          <w:rFonts w:hint="eastAsia" w:ascii="宋体" w:hAnsi="宋体" w:cs="宋体"/>
          <w:bCs/>
          <w:sz w:val="24"/>
          <w:szCs w:val="24"/>
          <w:highlight w:val="white"/>
        </w:rPr>
        <w:t xml:space="preserve">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w:t>
      </w:r>
      <w:r>
        <w:rPr>
          <w:rFonts w:hint="eastAsia" w:ascii="宋体" w:hAnsi="宋体" w:cs="宋体"/>
          <w:sz w:val="24"/>
          <w:szCs w:val="24"/>
          <w:highlight w:val="whit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 包装方式：</w:t>
      </w:r>
      <w:r>
        <w:rPr>
          <w:rFonts w:hint="eastAsia" w:ascii="宋体" w:hAnsi="宋体" w:cs="宋体"/>
          <w:iCs/>
          <w:sz w:val="24"/>
          <w:szCs w:val="24"/>
          <w:highlight w:val="white"/>
          <w:u w:val="single"/>
        </w:rPr>
        <w:t xml:space="preserve">箱板包装。</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二、合同金额</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2.1本合同含税金额为（大写）： _____________圆（______元）人民币。</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三、技术资料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3.1乙方应按招标文件规定的时间向甲方提供使用货物</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包含与货物相关的服务</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的有关技术资料。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四、知识产权</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white"/>
          <w:u w:val="single"/>
        </w:rPr>
      </w:pPr>
      <w:r>
        <w:rPr>
          <w:rFonts w:hint="eastAsia" w:ascii="宋体" w:hAnsi="宋体" w:cs="宋体"/>
          <w:b/>
          <w:sz w:val="24"/>
          <w:szCs w:val="24"/>
          <w:highlight w:val="white"/>
        </w:rPr>
        <w:t xml:space="preserve">五、产权担保</w:t>
      </w:r>
      <w:r/>
    </w:p>
    <w:p>
      <w:pPr>
        <w:ind w:firstLine="480"/>
        <w:spacing w:line="400" w:lineRule="exact"/>
        <w:rPr>
          <w:rFonts w:hint="eastAsia" w:ascii="宋体" w:hAnsi="宋体" w:cs="宋体"/>
          <w:sz w:val="24"/>
          <w:szCs w:val="24"/>
          <w:highlight w:val="white"/>
          <w:u w:val="single"/>
        </w:rPr>
      </w:pPr>
      <w:r>
        <w:rPr>
          <w:rFonts w:hint="eastAsia" w:ascii="宋体" w:hAnsi="宋体" w:cs="宋体"/>
          <w:sz w:val="24"/>
          <w:szCs w:val="24"/>
          <w:highlight w:val="white"/>
        </w:rPr>
        <w:t xml:space="preserve">5.1乙方保证所交付的货物（包含与货物相关的服务）的所有权完全属于乙方且无任何抵押、查封等产权瑕疵。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6.1履约保证金缴纳金额：中标金额的10%。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①由于供方的原因不能履约的。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七、合同转包或分包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7.1乙方不得将合同标的转包给他人履行。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八、合同款项支付</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8.1合同款项的支付方式及进度安排</w:t>
      </w:r>
      <w:r/>
    </w:p>
    <w:p>
      <w:pPr>
        <w:ind w:firstLine="480"/>
        <w:spacing w:line="400" w:lineRule="exact"/>
        <w:rPr>
          <w:rFonts w:hint="eastAsia" w:ascii="宋体" w:hAnsi="宋体" w:eastAsia="宋体" w:cs="宋体"/>
          <w:color w:val="ff0000"/>
          <w:sz w:val="24"/>
          <w:szCs w:val="24"/>
        </w:rPr>
      </w:pPr>
      <w:r>
        <w:rPr>
          <w:rFonts w:hint="eastAsia" w:ascii="宋体" w:hAnsi="宋体" w:eastAsia="宋体" w:cs="宋体"/>
          <w:sz w:val="24"/>
          <w:szCs w:val="24"/>
        </w:rPr>
        <w:t xml:space="preserve">合同签订生效后预支付合同总金额的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%，货到现场安装、调试、培训、验收合格后支付合同总金额的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7</w:t>
      </w:r>
      <w:r>
        <w:rPr>
          <w:rFonts w:hint="eastAsia" w:ascii="宋体" w:hAnsi="宋体" w:eastAsia="宋体" w:cs="宋体"/>
          <w:sz w:val="24"/>
          <w:szCs w:val="24"/>
          <w:u w:val="single"/>
        </w:rPr>
        <w:t xml:space="preserve">0 </w:t>
      </w:r>
      <w:r>
        <w:rPr>
          <w:rFonts w:hint="eastAsia" w:ascii="宋体" w:hAnsi="宋体" w:eastAsia="宋体" w:cs="宋体"/>
          <w:sz w:val="24"/>
          <w:szCs w:val="24"/>
        </w:rPr>
        <w:t xml:space="preserve">%。（如果制造商为中小企业，按《保障中小企业款项支付条例》(国令第 802号)相关要求执行。）</w:t>
      </w:r>
      <w:r/>
    </w:p>
    <w:p>
      <w:pPr>
        <w:ind w:firstLine="480"/>
        <w:spacing w:line="400" w:lineRule="exact"/>
        <w:rPr>
          <w:rFonts w:hint="eastAsia" w:ascii="宋体" w:hAnsi="宋体" w:cs="宋体"/>
          <w:sz w:val="24"/>
          <w:szCs w:val="24"/>
          <w:highlight w:val="white"/>
        </w:rPr>
      </w:pPr>
      <w:r>
        <w:rPr>
          <w:rFonts w:hint="eastAsia" w:ascii="宋体" w:hAnsi="宋体" w:cs="宋体"/>
          <w:bCs/>
          <w:sz w:val="24"/>
          <w:szCs w:val="24"/>
          <w:highlight w:val="white"/>
        </w:rPr>
        <w:t xml:space="preserve">8.2</w:t>
      </w:r>
      <w:r>
        <w:rPr>
          <w:rFonts w:hint="eastAsia" w:ascii="宋体" w:hAnsi="宋体" w:cs="宋体"/>
          <w:sz w:val="24"/>
          <w:szCs w:val="24"/>
          <w:highlight w:val="whit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九、税费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9.1本合同执行中相关的一切税费均由乙方负担。</w:t>
      </w:r>
      <w:r/>
    </w:p>
    <w:p>
      <w:pPr>
        <w:ind w:firstLine="482"/>
        <w:spacing w:line="400" w:lineRule="exact"/>
        <w:rPr>
          <w:rFonts w:hint="eastAsia" w:ascii="宋体" w:hAnsi="宋体" w:cs="宋体"/>
          <w:sz w:val="24"/>
          <w:szCs w:val="24"/>
          <w:highlight w:val="white"/>
        </w:rPr>
      </w:pPr>
      <w:r>
        <w:rPr>
          <w:rFonts w:hint="eastAsia" w:ascii="宋体" w:hAnsi="宋体" w:cs="宋体"/>
          <w:b/>
          <w:sz w:val="24"/>
          <w:szCs w:val="24"/>
          <w:highlight w:val="white"/>
        </w:rPr>
        <w:t xml:space="preserve">十、质量保修范围和</w:t>
      </w:r>
      <w:r>
        <w:rPr>
          <w:rFonts w:hint="eastAsia" w:ascii="宋体" w:hAnsi="宋体" w:cs="宋体"/>
          <w:b/>
          <w:sz w:val="24"/>
          <w:szCs w:val="24"/>
          <w:highlight w:val="white"/>
          <w:lang w:val="en-US" w:eastAsia="zh-CN"/>
        </w:rPr>
        <w:t xml:space="preserve">质保</w:t>
      </w:r>
      <w:r>
        <w:rPr>
          <w:rFonts w:hint="eastAsia" w:ascii="宋体" w:hAnsi="宋体" w:cs="宋体"/>
          <w:b/>
          <w:sz w:val="24"/>
          <w:szCs w:val="24"/>
          <w:highlight w:val="white"/>
        </w:rPr>
        <w:t xml:space="preserve">期及售后服务</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⑴更换：由乙方承担所发生的全部费用。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⑵贬值处理：由甲乙双方合议定价。</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w:t>
      </w:r>
      <w:r>
        <w:rPr>
          <w:rFonts w:hint="eastAsia" w:ascii="宋体" w:hAnsi="宋体" w:cs="宋体"/>
          <w:sz w:val="24"/>
          <w:szCs w:val="24"/>
          <w:highlight w:val="white"/>
        </w:rPr>
        <w:t xml:space="preserve">.3如在使用过程中发生质量问题</w:t>
      </w:r>
      <w:r>
        <w:rPr>
          <w:rFonts w:hint="eastAsia" w:ascii="宋体" w:hAnsi="宋体" w:cs="宋体"/>
          <w:sz w:val="24"/>
          <w:szCs w:val="24"/>
          <w:highlight w:val="white"/>
          <w:lang w:val="en-US" w:eastAsia="zh-CN"/>
        </w:rPr>
        <w:t xml:space="preserve">或故障</w:t>
      </w:r>
      <w:r>
        <w:rPr>
          <w:rFonts w:hint="eastAsia" w:ascii="宋体" w:hAnsi="宋体" w:cs="宋体"/>
          <w:sz w:val="24"/>
          <w:szCs w:val="24"/>
          <w:highlight w:val="white"/>
        </w:rPr>
        <w:t xml:space="preserve">，乙方在接到甲方通知后在_________小时内到达甲方现场。</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10.5上述的货物免费</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年（自交货验收合格之日起计），因人为因素出现的故障不在免费保修范围内。超过</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期的机器设备，终身维修，维修只收配件费，供方必须以低于市场价的80％优惠提供，具体</w:t>
      </w:r>
      <w:r>
        <w:rPr>
          <w:rFonts w:hint="eastAsia" w:ascii="宋体" w:hAnsi="宋体" w:cs="宋体"/>
          <w:bCs/>
          <w:sz w:val="24"/>
          <w:szCs w:val="24"/>
          <w:highlight w:val="white"/>
        </w:rPr>
        <w:t xml:space="preserve">由双方协商再定。</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十一、项目验收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11.1甲方依法组织履约验收工作。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w:t>
      </w:r>
      <w:r>
        <w:rPr>
          <w:rFonts w:hint="eastAsia" w:ascii="宋体" w:hAnsi="宋体"/>
          <w:bCs/>
          <w:sz w:val="24"/>
          <w:szCs w:val="24"/>
          <w:highlight w:val="white"/>
        </w:rPr>
        <w:t xml:space="preserve">过一年，国产产品不超过半年（以铭牌或说明书确认）</w:t>
      </w:r>
      <w:r>
        <w:rPr>
          <w:rFonts w:hint="eastAsia" w:ascii="宋体" w:hAnsi="宋体" w:cs="宋体"/>
          <w:sz w:val="24"/>
          <w:szCs w:val="24"/>
          <w:highlight w:val="white"/>
        </w:rPr>
        <w:t xml:space="preserve">。验收时</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甲方按照采购合同的约定对每一项技术、商务要求的履约情况进行确认。验收结束后</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验收小组出具验收书</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列明各项标准的验收情况及项目总体评价</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11.6验收合格的项目</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甲方将及时报告本级财政部门。</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十二、货物的包装、发运及运输</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12.4货物在</w:t>
      </w:r>
      <w:r>
        <w:rPr>
          <w:rFonts w:hint="eastAsia" w:ascii="宋体" w:hAnsi="宋体" w:cs="宋体"/>
          <w:sz w:val="24"/>
          <w:szCs w:val="24"/>
          <w:highlight w:val="white"/>
          <w:lang w:val="en-US" w:eastAsia="zh-CN"/>
        </w:rPr>
        <w:t xml:space="preserve">验收合格</w:t>
      </w:r>
      <w:r>
        <w:rPr>
          <w:rFonts w:hint="eastAsia" w:ascii="宋体" w:hAnsi="宋体" w:cs="宋体"/>
          <w:sz w:val="24"/>
          <w:szCs w:val="24"/>
          <w:highlight w:val="white"/>
        </w:rPr>
        <w:t xml:space="preserve">前发生的风险均由乙方负责。</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十三、违约责任</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13.1甲方无正当理由拒收货物的，甲方向乙方偿付拒收货款总值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13.2甲方无故逾期验收和办理货款支付手续的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甲方应按逾期付款总额每日</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向乙方支付违约金。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十四、不可抗力事件处理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14.3不可抗力事件延续120天以上，双方应通过友好协商，确定是否继续履行合同。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十五、解决争议的方法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十六、合同生效及其他</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16.1 合同经双方法定代表人或授权委托代表人签字并加盖单位公章后生效。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16.3 本合同正本一式四份，具有同等法律效力，甲方三份、乙方一份。</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 </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ind w:left="480" w:hanging="480"/>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甲方：江南大学附属医院                  乙方：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地址：无锡市滨湖区和风路 1000 号        地址：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法定代表人或授权代表：                  法定代表人或授权代表：</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2025年    月   日                       2025年    月   日</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乙方户名：</w:t>
      </w:r>
      <w:r/>
    </w:p>
    <w:p>
      <w:pPr>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                                      乙方开户银行：</w:t>
      </w:r>
      <w:r/>
    </w:p>
    <w:p>
      <w:pPr>
        <w:ind w:firstLine="40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乙方账号：</w:t>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720"/>
        <w:jc w:val="center"/>
        <w:spacing w:line="288" w:lineRule="auto"/>
        <w:rPr>
          <w:rFonts w:hint="eastAsia"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本项目中的</w:t>
      </w:r>
      <w:r>
        <w:rPr>
          <w:rFonts w:hint="eastAsia" w:ascii="宋体" w:hAnsi="宋体"/>
          <w:color w:val="000000" w:themeColor="text1"/>
          <w:sz w:val="24"/>
          <w:szCs w:val="24"/>
          <w:highlight w:val="white"/>
          <w:lang w:val="en-US" w:eastAsia="zh-CN"/>
          <w14:textFill>
            <w14:solidFill>
              <w14:schemeClr w14:val="tx1"/>
            </w14:solidFill>
          </w14:textFill>
        </w:rPr>
        <w:t xml:space="preserve">透视摄影X射线机</w:t>
      </w:r>
      <w:r>
        <w:rPr>
          <w:rFonts w:hint="eastAsia" w:ascii="宋体" w:hAnsi="宋体"/>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white"/>
          <w:u w:val="single"/>
          <w14:textFill>
            <w14:solidFill>
              <w14:schemeClr w14:val="tx1"/>
            </w14:solidFill>
          </w14:textFill>
        </w:rPr>
        <w:t xml:space="preserve">（须体现所投产品品牌型号）</w:t>
      </w:r>
      <w:r>
        <w:rPr>
          <w:rFonts w:hint="eastAsia" w:ascii="宋体" w:hAnsi="宋体"/>
          <w:color w:val="000000" w:themeColor="text1"/>
          <w:sz w:val="24"/>
          <w:szCs w:val="24"/>
          <w:highlight w:val="white"/>
          <w:u w:val="single"/>
          <w14:textFill>
            <w14:solidFill>
              <w14:schemeClr w14:val="tx1"/>
            </w14:solidFill>
          </w14:textFill>
        </w:rPr>
        <w:t xml:space="preserve">等），未提供技术支持资料或提供的技术支持资料不能佐证偏离表内容的，评审时不予认可。</w:t>
      </w:r>
      <w:r/>
    </w:p>
    <w:p>
      <w:pPr>
        <w:ind w:firstLine="602"/>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439"/>
        <w:gridCol w:w="1000"/>
        <w:gridCol w:w="882"/>
      </w:tblGrid>
      <w:tr>
        <w:trPr>
          <w:jc w:val="center"/>
          <w:trHeight w:val="90"/>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X射线管组件</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高压发生器</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平板探测器</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X射线检查床</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脚踏开关</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图像采集和处理工作站</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高级应用功能软件包</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低剂量管理功能包</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床旁医用液晶显示器</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对讲系统</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控制台专用桌</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不间断电源</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bl>
    <w:p>
      <w:pPr>
        <w:ind w:firstLine="420"/>
        <w:keepLines w:val="0"/>
        <w:keepNext w:val="0"/>
        <w:pageBreakBefore w:val="0"/>
        <w:spacing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olor w:val="auto"/>
          <w:sz w:val="24"/>
          <w:szCs w:val="24"/>
        </w:rPr>
        <w:t xml:space="preserve">★</w:t>
      </w:r>
      <w:r>
        <w:rPr>
          <w:rFonts w:hint="eastAsia" w:ascii="宋体" w:hAnsi="宋体" w:cs="宋体"/>
          <w:b/>
          <w:bCs/>
          <w:color w:val="000000"/>
          <w:sz w:val="24"/>
          <w:szCs w:val="24"/>
          <w:lang w:bidi="ar"/>
        </w:rPr>
        <w:t xml:space="preserve">备注：所配软件为投标机型最新软件版本，主机所有软件及功能模块须全部开放（含选配），提供相关承诺并盖章（格式自拟）</w:t>
      </w:r>
      <w:r>
        <w:rPr>
          <w:rFonts w:hint="eastAsia" w:ascii="宋体" w:hAnsi="宋体" w:cs="宋体"/>
          <w:b/>
          <w:bCs/>
          <w:color w:val="000000"/>
          <w:sz w:val="24"/>
          <w:szCs w:val="24"/>
          <w:lang w:val="en-US" w:eastAsia="zh-CN" w:bidi="ar"/>
        </w:rPr>
        <w:t xml:space="preserve"> </w:t>
      </w:r>
      <w:r>
        <w:rPr>
          <w:rFonts w:hint="eastAsia" w:ascii="宋体" w:hAnsi="宋体" w:cs="宋体"/>
          <w:b/>
          <w:bCs/>
          <w:color w:val="000000"/>
          <w:sz w:val="24"/>
          <w:szCs w:val="24"/>
          <w:lang w:bidi="ar"/>
        </w:rPr>
        <w:t xml:space="preserve">。</w:t>
      </w:r>
      <w:r/>
    </w:p>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t xml:space="preserve">     </w:t>
      </w:r>
      <w:r>
        <w:rPr>
          <w:rFonts w:hint="eastAsia" w:ascii="宋体" w:hAnsi="宋体"/>
          <w:bCs/>
          <w:color w:val="000000" w:themeColor="text1"/>
          <w:sz w:val="24"/>
          <w:szCs w:val="24"/>
          <w:highlight w:val="white"/>
          <w:u w:val="single"/>
          <w14:textFill>
            <w14:solidFill>
              <w14:schemeClr w14:val="tx1"/>
            </w14:solidFill>
          </w14:textFill>
        </w:rPr>
        <w:t xml:space="preserve">★二、技术参数：</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适用范围：用于数字化透视、摄影、胃肠道造影、T管造影、ERCP及PTCD等影像检查操作</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采用一体化检查床设计，固定式安装，设备不可整体移动</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高压发生器工作方式：高频逆变</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摄影管电压范围：≥40～150kV</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透视管电压范围：≥50～125kV </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具备摄影自动曝光功能 </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具备故障自检测功能</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采用碘化铯非晶硅动态平板探测器</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有效成像视野：≥17英寸×17英寸</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灰阶度：≥16bit</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摄片方式：透视、摄影及连续摄影</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限束器视野控制：自动和手动</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具备床侧操作按钮和紧急停止按钮</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图像采集和处理工作站：CPU主频≥3.0GHz，内存≥8GB</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图像采集和处理工作站配备医用液晶显示器≥2台，尺寸≥19英寸；床旁医用液晶显示器尺寸≥19英寸</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可实现内镜图像、X射线图像一屏双显</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具备标准DICOM3.0接口，包括DICOM Print、DICOM Out、DICOM Worklist、DICOM DoseSR、DICOM SC</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图像处理功能：具备图像存储与回放，图像裁剪，图像放大，多画面显示，图像旋转，水平/垂直镜像翻转，黑白反转，距离测定及角度测定，图像标注，直方图，实时分割摄影功能 </w:t>
      </w:r>
      <w:r/>
    </w:p>
    <w:p>
      <w:pPr>
        <w:pStyle w:val="811"/>
        <w:numPr>
          <w:ilvl w:val="0"/>
          <w:numId w:val="5"/>
        </w:numPr>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具备虚拟限束器功能</w:t>
      </w:r>
      <w:r/>
    </w:p>
    <w:p>
      <w:pPr>
        <w:pStyle w:val="811"/>
        <w:numPr>
          <w:ilvl w:val="0"/>
          <w:numId w:val="5"/>
        </w:numPr>
        <w:spacing w:before="156" w:after="156" w:line="360" w:lineRule="auto"/>
        <w:rPr>
          <w:rFonts w:hint="eastAsia" w:ascii="宋体" w:hAnsi="宋体"/>
          <w:bCs/>
          <w:color w:val="auto"/>
          <w:sz w:val="24"/>
          <w:szCs w:val="24"/>
          <w:highlight w:val="none"/>
          <w:lang w:val="en-US" w:eastAsia="zh-CN"/>
        </w:rPr>
      </w:pPr>
      <w:r>
        <w:rPr>
          <w:rFonts w:hint="eastAsia" w:ascii="宋体" w:hAnsi="宋体" w:eastAsia="宋体" w:cs="Times New Roman"/>
          <w:color w:val="auto"/>
          <w:sz w:val="24"/>
          <w:szCs w:val="24"/>
          <w:lang w:eastAsia="zh-CN"/>
        </w:rPr>
        <w:t xml:space="preserve">具备床垫、双侧肩托、双侧扶手、钡剂杯托全套完备附件</w:t>
      </w:r>
      <w:r/>
    </w:p>
    <w:p>
      <w:pPr>
        <w:pStyle w:val="811"/>
        <w:numPr>
          <w:ilvl w:val="0"/>
          <w:numId w:val="5"/>
        </w:numPr>
        <w:spacing w:before="156" w:after="156" w:line="360" w:lineRule="auto"/>
        <w:rPr>
          <w:rFonts w:hint="eastAsia" w:ascii="宋体" w:hAnsi="宋体"/>
          <w:bCs/>
          <w:color w:val="auto"/>
          <w:sz w:val="24"/>
          <w:szCs w:val="24"/>
          <w:highlight w:val="none"/>
          <w:lang w:val="en-US" w:eastAsia="zh-CN"/>
        </w:rPr>
      </w:pPr>
      <w:r>
        <w:rPr>
          <w:rFonts w:hint="eastAsia" w:ascii="宋体" w:hAnsi="宋体" w:eastAsia="宋体" w:cs="Times New Roman"/>
          <w:color w:val="auto"/>
          <w:sz w:val="24"/>
          <w:szCs w:val="24"/>
          <w:lang w:eastAsia="zh-CN"/>
        </w:rPr>
        <w:t xml:space="preserve">具备防散射线铅帘</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★三、商务需求：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2.交货时间：合同生效之日起</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天内。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white"/>
          <w:lang w:eastAsia="zh-CN"/>
          <w14:textFill>
            <w14:solidFill>
              <w14:schemeClr w14:val="tx1"/>
            </w14:solidFill>
          </w14:textFill>
        </w:rPr>
        <w:t xml:space="preserve">的其他指标</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6.运输及到货地点：由供方负责办理运输及装卸，直接送至需方</w:t>
      </w:r>
      <w:r>
        <w:rPr>
          <w:rFonts w:hint="eastAsia" w:ascii="宋体" w:hAnsi="宋体" w:cs="宋体"/>
          <w:sz w:val="24"/>
          <w:szCs w:val="24"/>
          <w:highlight w:val="white"/>
        </w:rPr>
      </w:r>
      <w:r>
        <w:rPr>
          <w:rFonts w:hint="eastAsia" w:ascii="宋体" w:hAnsi="宋体" w:cs="宋体"/>
          <w:sz w:val="24"/>
          <w:szCs w:val="24"/>
          <w:highlight w:val="white"/>
        </w:rPr>
        <w:t xml:space="preserve">南院区</w:t>
      </w:r>
      <w:r>
        <w:rPr>
          <w:rFonts w:hint="eastAsia" w:ascii="宋体" w:hAnsi="宋体" w:cs="宋体"/>
          <w:sz w:val="24"/>
          <w:szCs w:val="24"/>
          <w:highlight w:val="white"/>
        </w:rPr>
        <w:t xml:space="preserve">门诊</w:t>
      </w:r>
      <w:r>
        <w:rPr>
          <w:rFonts w:hint="eastAsia" w:ascii="宋体" w:hAnsi="宋体" w:cs="宋体"/>
          <w:sz w:val="24"/>
          <w:szCs w:val="24"/>
          <w:highlight w:val="white"/>
        </w:rPr>
        <w:t xml:space="preserve">五楼</w:t>
      </w:r>
      <w:r>
        <w:rPr>
          <w:rFonts w:hint="eastAsia" w:ascii="宋体" w:hAnsi="宋体" w:cs="宋体"/>
          <w:sz w:val="24"/>
          <w:szCs w:val="24"/>
          <w:highlight w:val="white"/>
        </w:rPr>
        <w:t xml:space="preserve">内镜中心</w:t>
      </w:r>
      <w:r/>
      <w:r>
        <w:rPr>
          <w:rFonts w:hint="eastAsia" w:ascii="宋体" w:hAnsi="宋体"/>
          <w:bCs/>
          <w:color w:val="000000" w:themeColor="text1"/>
          <w:sz w:val="24"/>
          <w:szCs w:val="24"/>
          <w:highlight w:val="white"/>
          <w14:textFill>
            <w14:solidFill>
              <w14:schemeClr w14:val="tx1"/>
            </w14:solidFill>
          </w14:textFill>
        </w:rPr>
        <w:t xml:space="preserve">，所有费用由供方承担。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合同签订后预付合同金额30%，货到现场安装、调试、培训、验收合格后付款70%。（如果制造商为中小企业，按《保障中小企业款项支付条例》(国令第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white"/>
          <w:lang w:eastAsia="zh-CN"/>
          <w14:textFill>
            <w14:solidFill>
              <w14:schemeClr w14:val="tx1"/>
            </w14:solidFill>
          </w14:textFill>
        </w:rPr>
        <w:t xml:space="preserve">承诺</w:t>
      </w:r>
      <w:r>
        <w:rPr>
          <w:rFonts w:hint="eastAsia" w:ascii="宋体" w:hAnsi="宋体"/>
          <w:bCs/>
          <w:color w:val="000000" w:themeColor="text1"/>
          <w:sz w:val="24"/>
          <w:szCs w:val="24"/>
          <w:highlight w:val="whit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white"/>
          <w:lang w:val="en-US" w:eastAsia="zh-CN"/>
          <w14:textFill>
            <w14:solidFill>
              <w14:schemeClr w14:val="tx1"/>
            </w14:solidFill>
          </w14:textFill>
        </w:rPr>
        <w:t xml:space="preserve">10</w:t>
      </w:r>
      <w:r>
        <w:rPr>
          <w:rFonts w:hint="eastAsia" w:ascii="宋体" w:hAnsi="宋体"/>
          <w:bCs/>
          <w:color w:val="000000" w:themeColor="text1"/>
          <w:sz w:val="24"/>
          <w:szCs w:val="24"/>
          <w:highlight w:val="white"/>
          <w14:textFill>
            <w14:solidFill>
              <w14:schemeClr w14:val="tx1"/>
            </w14:solidFill>
          </w14:textFill>
        </w:rPr>
        <w:t xml:space="preserve">年），生产厂家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9.</w:t>
      </w:r>
      <w:r>
        <w:rPr>
          <w:rFonts w:ascii="SimSun" w:hAnsi="SimSun" w:eastAsia="SimSun" w:cs="SimSun"/>
          <w:color w:val="000000"/>
          <w:sz w:val="24"/>
          <w:szCs w:val="24"/>
        </w:rPr>
        <w:t xml:space="preserve">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rPr>
          <w:rFonts w:hint="eastAsia" w:ascii="宋体" w:hAnsi="宋体"/>
          <w:color w:val="000000" w:themeColor="text1"/>
          <w:sz w:val="24"/>
          <w:szCs w:val="24"/>
          <w:highlight w:val="none"/>
          <w14:textFill>
            <w14:solidFill>
              <w14:schemeClr w14:val="tx1"/>
            </w14:solidFill>
          </w14:textFill>
        </w:rPr>
      </w:r>
      <w:r>
        <w:rPr>
          <w:rFonts w:hint="eastAsia" w:ascii="宋体" w:hAnsi="宋体"/>
          <w:color w:val="000000" w:themeColor="text1"/>
          <w:sz w:val="24"/>
          <w:szCs w:val="24"/>
          <w:highlight w:val="none"/>
          <w14:textFill>
            <w14:solidFill>
              <w14:schemeClr w14:val="tx1"/>
            </w14:solidFill>
          </w14:textFill>
        </w:rP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    </w:t>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rPr>
          <w:rFonts w:cs="Arial"/>
          <w:b/>
          <w:bCs/>
          <w:color w:val="000000" w:themeColor="text1"/>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sz w:val="30"/>
          <w:szCs w:val="30"/>
          <w:highlight w:val="white"/>
          <w14:textFill>
            <w14:solidFill>
              <w14:schemeClr w14:val="tx1"/>
            </w14:solidFill>
          </w14:textFill>
        </w:rPr>
      </w:r>
      <w:r>
        <w:rPr>
          <w:rFonts w:cs="Arial"/>
          <w:b/>
          <w:bCs/>
          <w:sz w:val="30"/>
          <w:szCs w:val="30"/>
          <w:highlight w:val="white"/>
          <w14:textFill>
            <w14:solidFill>
              <w14:schemeClr w14:val="tx1"/>
            </w14:solidFill>
          </w14:textFill>
        </w:rPr>
      </w:r>
      <w:r/>
    </w:p>
    <w:p>
      <w:pPr>
        <w:jc w:val="left"/>
        <w:rPr>
          <w:rFonts w:cs="Arial"/>
          <w:b/>
          <w:bCs/>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pStyle w:val="1035"/>
        <w:ind w:firstLine="281"/>
        <w:spacing w:before="0" w:after="0" w:line="500" w:lineRule="exact"/>
        <w:rPr>
          <w:rFonts w:hint="eastAsia" w:ascii="宋体" w:hAnsi="宋体"/>
          <w:b/>
          <w:bCs/>
          <w:color w:val="000000" w:themeColor="text1"/>
          <w:sz w:val="28"/>
          <w:szCs w:val="28"/>
          <w:highlight w:val="white"/>
          <w:shd w:val="clear" w:color="ffffff" w:fill="d9d9d9"/>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w:t>
      </w:r>
      <w:r/>
    </w:p>
    <w:p>
      <w:pPr>
        <w:pStyle w:val="1035"/>
        <w:ind w:firstLine="281"/>
        <w:spacing w:before="0" w:after="0" w:line="500" w:lineRule="exact"/>
        <w:rPr>
          <w:rFonts w:hint="eastAsia" w:ascii="宋体" w:hAnsi="宋体"/>
          <w:b/>
          <w:bCs/>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1.价格（40分）</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bookmarkStart w:id="190" w:name="_Hlk177222559"/>
      <w:r>
        <w:rPr>
          <w:rFonts w:hint="eastAsia" w:ascii="宋体" w:hAnsi="宋体"/>
          <w:bCs/>
          <w:color w:val="000000" w:themeColor="text1"/>
          <w:sz w:val="24"/>
          <w:szCs w:val="24"/>
          <w:highlight w:val="whit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投标报价得分=（评标基准价/投标报价）×价格权重分（保留两位小数</w:t>
      </w:r>
      <w:r>
        <w:rPr>
          <w:highlight w:val="white"/>
        </w:rPr>
        <w:t xml:space="preserve">）</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0"/>
        <w:jc w:val="left"/>
        <w:spacing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w:t>
      </w:r>
      <w:r>
        <w:rPr>
          <w:rFonts w:hint="eastAsia" w:ascii="宋体" w:hAnsi="宋体"/>
          <w:b/>
          <w:bCs/>
          <w:color w:val="000000" w:themeColor="text1"/>
          <w:sz w:val="24"/>
          <w:szCs w:val="24"/>
          <w:highlight w:val="none"/>
          <w14:textFill>
            <w14:solidFill>
              <w14:schemeClr w14:val="tx1"/>
            </w14:solidFill>
          </w14:textFill>
        </w:rPr>
        <w:t xml:space="preserve">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1"/>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6643"/>
        <w:gridCol w:w="804"/>
        <w:gridCol w:w="755"/>
      </w:tblGrid>
      <w:tr>
        <w:trPr>
          <w:jc w:val="center"/>
          <w:trHeight w:val="279"/>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6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技术评分标准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评分下限</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评分上限</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高压发生器最大输出功率：≥60kW，得1分；达到：≥80kW，得2分，</w:t>
            </w:r>
            <w:r>
              <w:rPr>
                <w:rFonts w:hint="eastAsia" w:ascii="宋体" w:hAnsi="宋体" w:eastAsia="宋体" w:cs="宋体"/>
                <w:color w:val="auto"/>
                <w:sz w:val="24"/>
                <w:szCs w:val="24"/>
              </w:rPr>
              <w:t xml:space="preserve">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r>
      <w:tr>
        <w:trPr>
          <w:jc w:val="center"/>
          <w:trHeight w:val="90"/>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脉冲透视帧频：≥5种，得2分；达到：≥7种，得3分，其他不得分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最小脉冲透视帧频：≤5fps，得1分；达到：≤2fps，得2分，</w:t>
            </w:r>
            <w:r>
              <w:rPr>
                <w:rFonts w:hint="eastAsia" w:ascii="宋体" w:hAnsi="宋体" w:eastAsia="宋体" w:cs="宋体"/>
                <w:color w:val="auto"/>
                <w:sz w:val="24"/>
                <w:szCs w:val="24"/>
              </w:rPr>
              <w:t xml:space="preserve">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球管焦点大小：小焦点≤0.6mm，得1分；达到：≤0.4mm，得2分</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球管焦点大小：大焦点≤1.3mm，得1分；达到：≤0.8mm，得2分，其他不得分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最大阳极热容量：≥300kHU，得1分；达到：≥500kHU，得2分，其他不得分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视野切换：≥5种，得2分；达到：≥6种，得3分</w:t>
            </w:r>
            <w:r>
              <w:rPr>
                <w:rFonts w:hint="eastAsia" w:ascii="宋体" w:hAnsi="宋体" w:eastAsia="宋体" w:cs="宋体"/>
                <w:color w:val="auto"/>
                <w:sz w:val="24"/>
                <w:szCs w:val="24"/>
              </w:rPr>
              <w:t xml:space="preserve">，其他不得分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像素尺寸：≤160微米，得2分；达到：≤140微米，得3分</w:t>
            </w:r>
            <w:r>
              <w:rPr>
                <w:rFonts w:hint="eastAsia" w:ascii="宋体" w:hAnsi="宋体" w:eastAsia="宋体" w:cs="宋体"/>
                <w:color w:val="auto"/>
                <w:sz w:val="24"/>
                <w:szCs w:val="24"/>
              </w:rPr>
              <w:t xml:space="preserve">，其他不得分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有效采集矩阵：≥2500×2500，得1分；达到：≥2800×2800，得2分，</w:t>
            </w:r>
            <w:r>
              <w:rPr>
                <w:rFonts w:hint="eastAsia" w:ascii="宋体" w:hAnsi="宋体" w:eastAsia="宋体" w:cs="宋体"/>
                <w:color w:val="auto"/>
                <w:sz w:val="24"/>
                <w:szCs w:val="24"/>
              </w:rPr>
              <w:t xml:space="preserve">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床面高度可电动升降，得1分；最低床面高度≤50cm，得1分，其他不得分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床体倾斜角度：≥-30°～90°，得2分，其他不得分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床板最大承重：≥150kg，得1分；达到：≥300kg，得2分，其他不得分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Height w:val="628"/>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影像系统（平板探测器中心）纵向移动距离：≥90cm，得1分；达到：≥150cm，得2分，其他不得分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影像系统横向移动时，受检者及床面与地面保持相对静止不动，得1分，其他不得分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倾斜投照角度：≥±30°，得1分；达到：≥±40°，得2分，其他不得分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球管最大阳极转速：≥9000转/分钟，得1分；达到：≥10000转/分钟，得2分，其他不得分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滤线栅为可移除型，得1分；栅密度≥85线/厘米，得1分，其他不得分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具备透视帧频倍增功能，即降低脉冲透视帧频，实际显示透视图像帧频保持不变，得2分，其他不得分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Pr>
        <w:tc>
          <w:tcPr>
            <w:tcW w:w="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具备背景衰减导丝增强显示透视功能，得2分，其他不得分</w:t>
            </w:r>
            <w:r/>
          </w:p>
        </w:tc>
        <w:tc>
          <w:tcPr>
            <w:tcW w:w="8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bl>
    <w:p>
      <w:pPr>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w:t>
      </w:r>
      <w:r>
        <w:rPr>
          <w:rFonts w:hint="eastAsia"/>
          <w:color w:val="000000" w:themeColor="text1"/>
          <w:highlight w:val="white"/>
          <w14:textFill>
            <w14:solidFill>
              <w14:schemeClr w14:val="tx1"/>
            </w14:solidFill>
          </w14:textFill>
        </w:rPr>
        <w:t xml:space="preserve"> </w:t>
      </w:r>
      <w:r>
        <w:rPr>
          <w:rFonts w:hint="eastAsia" w:ascii="宋体" w:hAnsi="宋体"/>
          <w:b/>
          <w:bCs/>
          <w:color w:val="000000" w:themeColor="text1"/>
          <w:sz w:val="24"/>
          <w:szCs w:val="24"/>
          <w:highlight w:val="white"/>
          <w14:textFill>
            <w14:solidFill>
              <w14:schemeClr w14:val="tx1"/>
            </w14:solidFill>
          </w14:textFill>
        </w:rPr>
        <w:t xml:space="preserve">商务（20分）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3.1 </w:t>
      </w:r>
      <w:r>
        <w:rPr>
          <w:rFonts w:hint="eastAsia" w:ascii="宋体" w:hAnsi="宋体"/>
          <w:bCs/>
          <w:color w:val="000000" w:themeColor="text1"/>
          <w:sz w:val="24"/>
          <w:szCs w:val="24"/>
          <w:highlight w:val="white"/>
          <w14:textFill>
            <w14:solidFill>
              <w14:schemeClr w14:val="tx1"/>
            </w14:solidFill>
          </w14:textFill>
        </w:rPr>
        <w:t xml:space="preserve">质保期（3分）：以原厂免费质保</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14:textFill>
            <w14:solidFill>
              <w14:schemeClr w14:val="tx1"/>
            </w14:solidFill>
          </w14:textFill>
        </w:rPr>
        <w:t xml:space="preserve">年为基准，每增加一年得1分，最多不超过3分。提供生产厂家出具的《质量保证及售后服务承诺书》（给定格式）扫描件并加盖投标人电子公章。</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3.2 </w:t>
      </w:r>
      <w:r>
        <w:rPr>
          <w:rFonts w:hint="eastAsia" w:ascii="宋体" w:hAnsi="宋体"/>
          <w:bCs/>
          <w:color w:val="000000" w:themeColor="text1"/>
          <w:sz w:val="24"/>
          <w:szCs w:val="24"/>
          <w:highlight w:val="whit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共6项，最高得6分。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3.3</w:t>
      </w:r>
      <w:r>
        <w:rPr>
          <w:rFonts w:hint="eastAsia" w:ascii="宋体" w:hAnsi="宋体"/>
          <w:bCs/>
          <w:color w:val="000000" w:themeColor="text1"/>
          <w:sz w:val="24"/>
          <w:szCs w:val="24"/>
          <w:highlight w:val="white"/>
          <w14:textFill>
            <w14:solidFill>
              <w14:schemeClr w14:val="tx1"/>
            </w14:solidFill>
          </w14:textFill>
        </w:rPr>
        <w:t xml:space="preserve">服务保障体系（</w:t>
      </w:r>
      <w:r>
        <w:rPr>
          <w:rFonts w:hint="eastAsia" w:ascii="宋体" w:hAnsi="宋体"/>
          <w:bCs/>
          <w:color w:val="000000" w:themeColor="text1"/>
          <w:sz w:val="24"/>
          <w:szCs w:val="24"/>
          <w:highlight w:val="white"/>
          <w:lang w:val="en-US" w:eastAsia="zh-CN"/>
          <w14:textFill>
            <w14:solidFill>
              <w14:schemeClr w14:val="tx1"/>
            </w14:solidFill>
          </w14:textFill>
        </w:rPr>
        <w:t xml:space="preserve">6</w:t>
      </w:r>
      <w:r>
        <w:rPr>
          <w:rFonts w:hint="eastAsia" w:ascii="宋体" w:hAnsi="宋体"/>
          <w:bCs/>
          <w:color w:val="000000" w:themeColor="text1"/>
          <w:sz w:val="24"/>
          <w:szCs w:val="24"/>
          <w:highlight w:val="white"/>
          <w14:textFill>
            <w14:solidFill>
              <w14:schemeClr w14:val="tx1"/>
            </w14:solidFill>
          </w14:textFill>
        </w:rPr>
        <w:t xml:space="preserve">分）：投标人保障服务方案的实施而设立的①服务机构、配备的相应服务人员、设施装备，以及②相应的服务细则和规范的管理制度，</w:t>
      </w:r>
      <w:r>
        <w:rPr>
          <w:rFonts w:hint="eastAsia" w:ascii="宋体" w:hAnsi="宋体"/>
          <w:bCs/>
          <w:color w:val="000000" w:themeColor="text1"/>
          <w:sz w:val="24"/>
          <w:szCs w:val="24"/>
          <w:highlight w:val="white"/>
          <w:lang w:val="en-US" w:eastAsia="zh-CN"/>
          <w14:textFill>
            <w14:solidFill>
              <w14:schemeClr w14:val="tx1"/>
            </w14:solidFill>
          </w14:textFill>
        </w:rPr>
        <w:t xml:space="preserve">③</w:t>
      </w:r>
      <w:r>
        <w:rPr>
          <w:rFonts w:hint="eastAsia" w:ascii="宋体" w:hAnsi="宋体"/>
          <w:bCs/>
          <w:color w:val="000000" w:themeColor="text1"/>
          <w:sz w:val="24"/>
          <w:szCs w:val="24"/>
          <w:highlight w:val="white"/>
          <w14:textFill>
            <w14:solidFill>
              <w14:schemeClr w14:val="tx1"/>
            </w14:solidFill>
          </w14:textFill>
        </w:rPr>
        <w:t xml:space="preserve">确保兑现服务承诺、保证服务质量的措施。</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单项存在1处瑕疵、漏项，得1分；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14:textFill>
            <w14:solidFill>
              <w14:schemeClr w14:val="tx1"/>
            </w14:solidFill>
          </w14:textFill>
        </w:rPr>
        <w:t xml:space="preserve">项，最高得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6</w:t>
      </w:r>
      <w:r>
        <w:rPr>
          <w:rFonts w:hint="eastAsia" w:ascii="宋体" w:hAnsi="宋体"/>
          <w:bCs/>
          <w:color w:val="000000" w:themeColor="text1"/>
          <w:sz w:val="24"/>
          <w:szCs w:val="24"/>
          <w:highlight w:val="white"/>
          <w14:textFill>
            <w14:solidFill>
              <w14:schemeClr w14:val="tx1"/>
            </w14:solidFill>
          </w14:textFill>
        </w:rPr>
        <w:t xml:space="preserve">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3.4 </w:t>
      </w:r>
      <w:r>
        <w:rPr>
          <w:rFonts w:hint="eastAsia" w:ascii="宋体" w:hAnsi="宋体"/>
          <w:bCs/>
          <w:color w:val="000000" w:themeColor="text1"/>
          <w:sz w:val="24"/>
          <w:szCs w:val="24"/>
          <w:highlight w:val="whit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white"/>
          <w:lang w:eastAsia="zh-CN"/>
          <w14:textFill>
            <w14:solidFill>
              <w14:schemeClr w14:val="tx1"/>
            </w14:solidFill>
          </w14:textFill>
        </w:rPr>
        <w:t xml:space="preserve">月以</w:t>
      </w:r>
      <w:r>
        <w:rPr>
          <w:rFonts w:hint="eastAsia" w:ascii="宋体" w:hAnsi="宋体"/>
          <w:bCs/>
          <w:color w:val="000000" w:themeColor="text1"/>
          <w:sz w:val="24"/>
          <w:szCs w:val="24"/>
          <w:highlight w:val="whit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white"/>
        </w:rPr>
        <w:t xml:space="preserve">合同金额如在50万元以上（含50万元），还须提供</w:t>
      </w:r>
      <w:r>
        <w:rPr>
          <w:rFonts w:hint="eastAsia" w:ascii="宋体" w:hAnsi="宋体" w:cs="宋体"/>
          <w:color w:val="000000"/>
          <w:sz w:val="24"/>
          <w:szCs w:val="24"/>
          <w:highlight w:val="white"/>
          <w:lang w:val="en-US" w:eastAsia="zh-CN"/>
        </w:rPr>
        <w:t xml:space="preserve">中标（成交）页面或</w:t>
      </w:r>
      <w:r>
        <w:rPr>
          <w:rFonts w:hint="eastAsia" w:ascii="宋体" w:hAnsi="宋体" w:cs="宋体"/>
          <w:color w:val="000000"/>
          <w:sz w:val="24"/>
          <w:szCs w:val="24"/>
          <w:highlight w:val="white"/>
        </w:rPr>
        <w:t xml:space="preserve">合同公示页面截图进行佐证。截图内容含公示网站名称或地址、公示日期、完整公示内容。</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3.5 </w:t>
      </w:r>
      <w:r>
        <w:rPr>
          <w:rFonts w:hint="eastAsia" w:ascii="宋体" w:hAnsi="宋体"/>
          <w:bCs/>
          <w:color w:val="000000" w:themeColor="text1"/>
          <w:sz w:val="24"/>
          <w:szCs w:val="24"/>
          <w:highlight w:val="white"/>
          <w14:textFill>
            <w14:solidFill>
              <w14:schemeClr w14:val="tx1"/>
            </w14:solidFill>
          </w14:textFill>
        </w:rPr>
        <w:t xml:space="preserve">政策性因素（2分）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3.5.1</w:t>
      </w:r>
      <w:r>
        <w:rPr>
          <w:rFonts w:hint="eastAsia" w:ascii="宋体" w:hAnsi="宋体"/>
          <w:bCs/>
          <w:color w:val="000000" w:themeColor="text1"/>
          <w:sz w:val="24"/>
          <w:szCs w:val="24"/>
          <w:highlight w:val="white"/>
          <w14:textFill>
            <w14:solidFill>
              <w14:schemeClr w14:val="tx1"/>
            </w14:solidFill>
          </w14:textFill>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3.5.2</w:t>
      </w:r>
      <w:r>
        <w:rPr>
          <w:rFonts w:hint="eastAsia" w:ascii="宋体" w:hAnsi="宋体"/>
          <w:bCs/>
          <w:color w:val="000000" w:themeColor="text1"/>
          <w:sz w:val="24"/>
          <w:szCs w:val="24"/>
          <w:highlight w:val="whit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pStyle w:val="735"/>
        <w:ind w:firstLine="0"/>
        <w:rPr>
          <w:highlight w:val="white"/>
        </w:rPr>
      </w:pPr>
      <w:r>
        <w:rPr>
          <w:highlight w:val="white"/>
        </w:rPr>
      </w:r>
      <w:r/>
    </w:p>
    <w:p>
      <w:pPr>
        <w:jc w:val="center"/>
        <w:spacing w:line="500" w:lineRule="exact"/>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1" w:name="_Hlt26955039"/>
      <w:r/>
      <w:bookmarkEnd w:id="191"/>
      <w:r/>
      <w:bookmarkStart w:id="192" w:name="_Hlt26671244"/>
      <w:r/>
      <w:bookmarkEnd w:id="192"/>
      <w:r/>
      <w:bookmarkStart w:id="193" w:name="_Toc120614282"/>
      <w:r/>
      <w:bookmarkStart w:id="194" w:name="_Toc26554094"/>
      <w:r/>
      <w:bookmarkStart w:id="195" w:name="_Toc49090576"/>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JSZC-320200-XWJC-G2025-0114</w:t>
      </w:r>
      <w:r/>
    </w:p>
    <w:p>
      <w:pPr>
        <w:ind w:left="3405" w:hanging="1605"/>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江南大学附属医院透视摄影X射线机项目</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hint="eastAsia"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JSZC-320200-XWJC-G2025-0114</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3"/>
        <w:ind w:firstLine="480"/>
        <w:rPr>
          <w:rFonts w:hint="eastAsia"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3"/>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33"/>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3"/>
        <w:ind w:firstLine="0"/>
        <w:rPr>
          <w:rFonts w:hint="eastAsia"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JSZC-320200-XWJC-G2025-0114</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JSZC-320200-XWJC-G2025-0114</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rFonts w:hint="eastAsia"/>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JSZC-320200-XWJC-G2025-0114</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JSZC-320200-XWJC-G2025-0114</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int="eastAsia" w:hAnsi="宋体"/>
                <w:bCs/>
                <w:color w:val="000000" w:themeColor="text1"/>
                <w:szCs w:val="24"/>
                <w:highlight w:val="white"/>
                <w14:textFill>
                  <w14:solidFill>
                    <w14:schemeClr w14:val="tx1"/>
                  </w14:solidFill>
                </w14:textFill>
              </w:rPr>
            </w:pPr>
            <w:r>
              <w:rPr>
                <w:rFonts w:hint="eastAsia"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1"/>
              <w:rPr>
                <w:rFonts w:hint="eastAsia" w:hAnsi="宋体"/>
                <w:b/>
                <w:color w:val="000000" w:themeColor="text1"/>
                <w:szCs w:val="24"/>
                <w:highlight w:val="white"/>
                <w14:textFill>
                  <w14:solidFill>
                    <w14:schemeClr w14:val="tx1"/>
                  </w14:solidFill>
                </w14:textFill>
              </w:rPr>
            </w:pPr>
            <w:r>
              <w:rPr>
                <w:rFonts w:hint="eastAsia"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JSZC-320200-XWJC-G2025-0114</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交货完工期： 合同签订生效后</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white"/>
              </w:rPr>
            </w:pPr>
            <w:r>
              <w:rPr>
                <w:rFonts w:hint="eastAsia" w:ascii="宋体" w:hAnsi="宋体"/>
                <w:bCs/>
                <w:color w:val="000000"/>
                <w:sz w:val="24"/>
                <w:szCs w:val="24"/>
                <w:highlight w:val="white"/>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hint="eastAsia" w:ascii="宋体" w:hAnsi="宋体"/>
          <w:b/>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JSZC-320200-XWJC-G2025-0114</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Hlt26671374"/>
      <w:r/>
      <w:bookmarkEnd w:id="198"/>
      <w:r/>
      <w:bookmarkStart w:id="199" w:name="_Hlt26955066"/>
      <w:r/>
      <w:bookmarkEnd w:id="199"/>
      <w:r/>
      <w:bookmarkStart w:id="200" w:name="_Hlt26609389"/>
      <w:r/>
      <w:bookmarkEnd w:id="200"/>
      <w:r/>
      <w:bookmarkStart w:id="201" w:name="_格式2__法定代表人授权书"/>
      <w:r/>
      <w:bookmarkEnd w:id="201"/>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JSZC-320200-XWJC-G2025-0114</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b/>
          <w:color w:val="000000"/>
          <w:sz w:val="30"/>
          <w:szCs w:val="30"/>
          <w:highlight w:val="white"/>
        </w:rPr>
      </w:pPr>
      <w:r>
        <w:rPr>
          <w:rFonts w:hint="eastAsia"/>
          <w:b/>
          <w:color w:val="000000"/>
          <w:sz w:val="30"/>
          <w:szCs w:val="30"/>
          <w:highlight w:val="white"/>
        </w:rPr>
        <w:t xml:space="preserve">1.招标文件第四章“采购需求”规定的投标人需要提供的投标产品技术支持材料和其他相关证明文件</w:t>
      </w:r>
      <w:r/>
    </w:p>
    <w:p>
      <w:pPr>
        <w:spacing w:line="360" w:lineRule="auto"/>
        <w:rPr>
          <w:b/>
          <w:color w:val="000000"/>
          <w:sz w:val="30"/>
          <w:szCs w:val="30"/>
          <w:highlight w:val="white"/>
        </w:rPr>
      </w:pPr>
      <w:r>
        <w:rPr>
          <w:b/>
          <w:color w:val="000000"/>
          <w:sz w:val="30"/>
          <w:szCs w:val="30"/>
          <w:highlight w:val="white"/>
        </w:rPr>
      </w:r>
      <w:r/>
    </w:p>
    <w:p>
      <w:pPr>
        <w:spacing w:line="360" w:lineRule="auto"/>
        <w:rPr>
          <w:rFonts w:hint="eastAsia" w:ascii="黑体" w:hAnsi="黑体"/>
          <w:color w:val="000000" w:themeColor="text1"/>
          <w:sz w:val="28"/>
          <w:szCs w:val="28"/>
          <w:highlight w:val="white"/>
          <w14:textFill>
            <w14:solidFill>
              <w14:schemeClr w14:val="tx1"/>
            </w14:solidFill>
          </w14:textFill>
        </w:rPr>
      </w:pPr>
      <w:r>
        <w:rPr>
          <w:rFonts w:hint="eastAsia"/>
          <w:b/>
          <w:color w:val="000000"/>
          <w:sz w:val="30"/>
          <w:szCs w:val="30"/>
          <w:highlight w:val="white"/>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sz w:val="30"/>
          <w:szCs w:val="30"/>
          <w:highlight w:val="white"/>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江南大学附属医院透视摄影X射线机项目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JSZC-320200-XWJC-G2025-0114</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372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1502"/>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法定代表人或法定代表人授权代表CA签章：</w:t>
      </w:r>
      <w:r/>
    </w:p>
    <w:p>
      <w:pPr>
        <w:ind w:firstLine="4560"/>
        <w:spacing w:line="360" w:lineRule="auto"/>
        <w:rPr>
          <w:rFonts w:hint="eastAsia" w:ascii="宋体" w:hAnsi="宋体" w:cs="仿宋"/>
          <w:color w:val="000000" w:themeColor="text1"/>
          <w:sz w:val="24"/>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日期：</w:t>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7"/>
  </w:num>
  <w:num w:numId="6">
    <w:abstractNumId w:val="5"/>
  </w:num>
  <w:num w:numId="7">
    <w:abstractNumId w:val="6"/>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80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uiPriority w:val="0"/>
    <w:unhideWhenUsed/>
    <w:qFormat/>
    <w:pPr>
      <w:spacing w:after="120"/>
    </w:pPr>
    <w:rPr>
      <w:rFonts w:ascii="Calibri" w:hAnsi="Calibri"/>
      <w:szCs w:val="22"/>
    </w:rPr>
  </w:style>
  <w:style w:type="paragraph" w:styleId="735">
    <w:name w:val="Body Text Indent"/>
    <w:basedOn w:val="720"/>
    <w:uiPriority w:val="99"/>
    <w:qFormat/>
    <w:pPr>
      <w:ind w:firstLine="576"/>
    </w:pPr>
    <w:rPr>
      <w:sz w:val="20"/>
      <w:szCs w:val="20"/>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Plain Text"/>
    <w:basedOn w:val="720"/>
    <w:uiPriority w:val="0"/>
    <w:qFormat/>
    <w:rPr>
      <w:rFonts w:ascii="宋体" w:hAnsi="Courier New" w:cs="Courier New"/>
    </w:rPr>
  </w:style>
  <w:style w:type="paragraph" w:styleId="739">
    <w:name w:val="toc 8"/>
    <w:basedOn w:val="720"/>
    <w:next w:val="720"/>
    <w:uiPriority w:val="39"/>
    <w:unhideWhenUsed/>
    <w:qFormat/>
    <w:pPr>
      <w:ind w:left="1984"/>
      <w:spacing w:after="57"/>
    </w:pPr>
  </w:style>
  <w:style w:type="paragraph" w:styleId="740">
    <w:name w:val="endnote text"/>
    <w:basedOn w:val="720"/>
    <w:link w:val="948"/>
    <w:uiPriority w:val="99"/>
    <w:semiHidden/>
    <w:unhideWhenUsed/>
    <w:qFormat/>
    <w:rPr>
      <w:sz w:val="20"/>
    </w:rPr>
  </w:style>
  <w:style w:type="paragraph" w:styleId="741">
    <w:name w:val="Footer"/>
    <w:basedOn w:val="720"/>
    <w:link w:val="821"/>
    <w:uiPriority w:val="99"/>
    <w:unhideWhenUsed/>
    <w:qFormat/>
    <w:pPr>
      <w:tabs>
        <w:tab w:val="center" w:pos="7143" w:leader="none"/>
        <w:tab w:val="right" w:pos="14287" w:leader="none"/>
      </w:tabs>
    </w:pPr>
  </w:style>
  <w:style w:type="paragraph" w:styleId="742">
    <w:name w:val="envelope return"/>
    <w:basedOn w:val="720"/>
    <w:uiPriority w:val="0"/>
    <w:qFormat/>
    <w:rPr>
      <w:rFonts w:ascii="Arial" w:hAnsi="Arial" w:eastAsia="楷体_GB2312"/>
      <w:sz w:val="26"/>
      <w:szCs w:val="20"/>
    </w:rPr>
  </w:style>
  <w:style w:type="paragraph" w:styleId="743">
    <w:name w:val="Header"/>
    <w:basedOn w:val="720"/>
    <w:link w:val="819"/>
    <w:uiPriority w:val="99"/>
    <w:unhideWhenUsed/>
    <w:qFormat/>
    <w:pPr>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14"/>
    <w:uiPriority w:val="11"/>
    <w:qFormat/>
    <w:pPr>
      <w:spacing w:before="200" w:after="200"/>
    </w:pPr>
    <w:rPr>
      <w:sz w:val="24"/>
      <w:szCs w:val="24"/>
    </w:rPr>
  </w:style>
  <w:style w:type="paragraph" w:styleId="747">
    <w:name w:val="footnote text"/>
    <w:basedOn w:val="720"/>
    <w:link w:val="94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0"/>
    <w:next w:val="720"/>
    <w:link w:val="813"/>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table" w:styleId="7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30"/>
    <w:uiPriority w:val="9"/>
    <w:qFormat/>
    <w:rPr>
      <w:rFonts w:ascii="Arial" w:hAnsi="Arial" w:eastAsia="Arial" w:cs="Arial"/>
      <w:sz w:val="40"/>
      <w:szCs w:val="40"/>
    </w:rPr>
  </w:style>
  <w:style w:type="character" w:styleId="783" w:customStyle="1">
    <w:name w:val="Heading 2 Char"/>
    <w:basedOn w:val="730"/>
    <w:uiPriority w:val="9"/>
    <w:qFormat/>
    <w:rPr>
      <w:rFonts w:ascii="Arial" w:hAnsi="Arial" w:eastAsia="Arial" w:cs="Arial"/>
      <w:sz w:val="34"/>
    </w:rPr>
  </w:style>
  <w:style w:type="character" w:styleId="784" w:customStyle="1">
    <w:name w:val="Heading 3 Char"/>
    <w:basedOn w:val="730"/>
    <w:uiPriority w:val="9"/>
    <w:qFormat/>
    <w:rPr>
      <w:rFonts w:ascii="Arial" w:hAnsi="Arial" w:eastAsia="Arial" w:cs="Arial"/>
      <w:sz w:val="30"/>
      <w:szCs w:val="30"/>
    </w:rPr>
  </w:style>
  <w:style w:type="character" w:styleId="785" w:customStyle="1">
    <w:name w:val="Heading 4 Char"/>
    <w:basedOn w:val="730"/>
    <w:uiPriority w:val="9"/>
    <w:qFormat/>
    <w:rPr>
      <w:rFonts w:ascii="Arial" w:hAnsi="Arial" w:eastAsia="Arial" w:cs="Arial"/>
      <w:b/>
      <w:bCs/>
      <w:sz w:val="26"/>
      <w:szCs w:val="26"/>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30"/>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20"/>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21"/>
    <w:uiPriority w:val="9"/>
    <w:qFormat/>
    <w:rPr>
      <w:rFonts w:ascii="Arial" w:hAnsi="Arial" w:eastAsia="Arial" w:cs="Arial"/>
      <w:sz w:val="40"/>
      <w:szCs w:val="40"/>
    </w:rPr>
  </w:style>
  <w:style w:type="character" w:styleId="803" w:customStyle="1">
    <w:name w:val="标题 2 字符"/>
    <w:link w:val="722"/>
    <w:uiPriority w:val="9"/>
    <w:qFormat/>
    <w:rPr>
      <w:rFonts w:ascii="Arial" w:hAnsi="Arial" w:eastAsia="Arial" w:cs="Arial"/>
      <w:sz w:val="34"/>
    </w:rPr>
  </w:style>
  <w:style w:type="character" w:styleId="804" w:customStyle="1">
    <w:name w:val="标题 3 字符"/>
    <w:link w:val="723"/>
    <w:uiPriority w:val="9"/>
    <w:qFormat/>
    <w:rPr>
      <w:rFonts w:ascii="Arial" w:hAnsi="Arial" w:eastAsia="Arial" w:cs="Arial"/>
      <w:sz w:val="30"/>
      <w:szCs w:val="30"/>
    </w:rPr>
  </w:style>
  <w:style w:type="character" w:styleId="805" w:customStyle="1">
    <w:name w:val="标题 4 字符"/>
    <w:link w:val="724"/>
    <w:uiPriority w:val="9"/>
    <w:qFormat/>
    <w:rPr>
      <w:rFonts w:ascii="Arial" w:hAnsi="Arial" w:eastAsia="Arial" w:cs="Arial"/>
      <w:b/>
      <w:bCs/>
      <w:sz w:val="26"/>
      <w:szCs w:val="26"/>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3"/>
    <w:uiPriority w:val="10"/>
    <w:qFormat/>
    <w:rPr>
      <w:sz w:val="48"/>
      <w:szCs w:val="48"/>
    </w:rPr>
  </w:style>
  <w:style w:type="character" w:styleId="814" w:customStyle="1">
    <w:name w:val="副标题 字符"/>
    <w:link w:val="746"/>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3"/>
    <w:uiPriority w:val="99"/>
    <w:qFormat/>
  </w:style>
  <w:style w:type="character" w:styleId="820" w:customStyle="1">
    <w:name w:val="Footer Char"/>
    <w:uiPriority w:val="99"/>
    <w:qFormat/>
  </w:style>
  <w:style w:type="character" w:styleId="821" w:customStyle="1">
    <w:name w:val="页脚 字符"/>
    <w:link w:val="741"/>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7"/>
    <w:uiPriority w:val="99"/>
    <w:qFormat/>
    <w:rPr>
      <w:sz w:val="18"/>
    </w:rPr>
  </w:style>
  <w:style w:type="character" w:styleId="948" w:customStyle="1">
    <w:name w:val="尾注文本 字符"/>
    <w:link w:val="740"/>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20"/>
    <w:next w:val="720"/>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20"/>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20"/>
    <w:link w:val="964"/>
    <w:uiPriority w:val="0"/>
    <w:qFormat/>
    <w:pPr>
      <w:ind w:firstLine="420"/>
    </w:pPr>
    <w:rPr>
      <w:sz w:val="20"/>
      <w:lang w:eastAsia="en-US"/>
    </w:rPr>
  </w:style>
  <w:style w:type="paragraph" w:styleId="953" w:customStyle="1">
    <w:name w:val="标题 31"/>
    <w:basedOn w:val="720"/>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20"/>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20"/>
    <w:next w:val="952"/>
    <w:link w:val="967"/>
    <w:uiPriority w:val="0"/>
    <w:qFormat/>
    <w:pPr>
      <w:keepNext/>
      <w:outlineLvl w:val="4"/>
    </w:pPr>
    <w:rPr>
      <w:rFonts w:ascii="宋体"/>
      <w:color w:val="000000"/>
      <w:sz w:val="28"/>
      <w:szCs w:val="28"/>
      <w:lang w:eastAsia="en-US"/>
    </w:rPr>
  </w:style>
  <w:style w:type="paragraph" w:styleId="956" w:customStyle="1">
    <w:name w:val="标题 61"/>
    <w:basedOn w:val="720"/>
    <w:next w:val="720"/>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20"/>
    <w:next w:val="720"/>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20"/>
    <w:next w:val="720"/>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20"/>
    <w:next w:val="720"/>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20"/>
    <w:uiPriority w:val="0"/>
    <w:qFormat/>
    <w:pPr>
      <w:ind w:left="100" w:hanging="200"/>
    </w:pPr>
  </w:style>
  <w:style w:type="paragraph" w:styleId="973" w:customStyle="1">
    <w:name w:val="目录 71"/>
    <w:basedOn w:val="720"/>
    <w:next w:val="720"/>
    <w:uiPriority w:val="0"/>
    <w:semiHidden/>
    <w:qFormat/>
    <w:pPr>
      <w:ind w:left="1260"/>
      <w:jc w:val="left"/>
    </w:pPr>
  </w:style>
  <w:style w:type="paragraph" w:styleId="974" w:customStyle="1">
    <w:name w:val="文档结构图1"/>
    <w:basedOn w:val="720"/>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0"/>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20"/>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20"/>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20"/>
    <w:uiPriority w:val="0"/>
    <w:qFormat/>
    <w:pPr>
      <w:ind w:left="100" w:hanging="200"/>
    </w:pPr>
  </w:style>
  <w:style w:type="paragraph" w:styleId="984" w:customStyle="1">
    <w:name w:val="目录 51"/>
    <w:basedOn w:val="720"/>
    <w:next w:val="720"/>
    <w:uiPriority w:val="0"/>
    <w:semiHidden/>
    <w:qFormat/>
    <w:pPr>
      <w:ind w:left="840"/>
      <w:jc w:val="left"/>
    </w:pPr>
  </w:style>
  <w:style w:type="paragraph" w:styleId="985" w:customStyle="1">
    <w:name w:val="目录 31"/>
    <w:basedOn w:val="720"/>
    <w:next w:val="720"/>
    <w:uiPriority w:val="0"/>
    <w:semiHidden/>
    <w:qFormat/>
    <w:pPr>
      <w:ind w:left="420"/>
      <w:jc w:val="left"/>
    </w:pPr>
    <w:rPr>
      <w:i/>
      <w:iCs/>
      <w:szCs w:val="24"/>
    </w:rPr>
  </w:style>
  <w:style w:type="paragraph" w:styleId="986" w:customStyle="1">
    <w:name w:val="纯文本1"/>
    <w:basedOn w:val="720"/>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20"/>
    <w:next w:val="720"/>
    <w:uiPriority w:val="0"/>
    <w:semiHidden/>
    <w:qFormat/>
    <w:pPr>
      <w:ind w:left="1470"/>
      <w:jc w:val="left"/>
    </w:pPr>
  </w:style>
  <w:style w:type="paragraph" w:styleId="989" w:customStyle="1">
    <w:name w:val="日期1"/>
    <w:basedOn w:val="720"/>
    <w:next w:val="720"/>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20"/>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20"/>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20"/>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20"/>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20"/>
    <w:next w:val="720"/>
    <w:uiPriority w:val="0"/>
    <w:semiHidden/>
    <w:qFormat/>
    <w:pPr>
      <w:ind w:left="630"/>
      <w:jc w:val="left"/>
    </w:pPr>
  </w:style>
  <w:style w:type="paragraph" w:styleId="1001" w:customStyle="1">
    <w:name w:val="列表1"/>
    <w:basedOn w:val="720"/>
    <w:uiPriority w:val="0"/>
    <w:qFormat/>
    <w:pPr>
      <w:ind w:left="200" w:hanging="200"/>
    </w:pPr>
  </w:style>
  <w:style w:type="paragraph" w:styleId="1002" w:customStyle="1">
    <w:name w:val="目录 61"/>
    <w:basedOn w:val="720"/>
    <w:next w:val="720"/>
    <w:uiPriority w:val="0"/>
    <w:semiHidden/>
    <w:qFormat/>
    <w:pPr>
      <w:ind w:left="1050"/>
      <w:jc w:val="left"/>
    </w:pPr>
  </w:style>
  <w:style w:type="paragraph" w:styleId="1003" w:customStyle="1">
    <w:name w:val="正文文本缩进 31"/>
    <w:basedOn w:val="720"/>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20"/>
    <w:next w:val="720"/>
    <w:uiPriority w:val="0"/>
    <w:semiHidden/>
    <w:qFormat/>
    <w:pPr>
      <w:ind w:left="840" w:hanging="420"/>
    </w:pPr>
  </w:style>
  <w:style w:type="paragraph" w:styleId="1006" w:customStyle="1">
    <w:name w:val="目录 21"/>
    <w:basedOn w:val="720"/>
    <w:next w:val="720"/>
    <w:uiPriority w:val="0"/>
    <w:semiHidden/>
    <w:qFormat/>
    <w:pPr>
      <w:ind w:left="210"/>
      <w:jc w:val="left"/>
    </w:pPr>
    <w:rPr>
      <w:smallCaps/>
      <w:szCs w:val="24"/>
    </w:rPr>
  </w:style>
  <w:style w:type="paragraph" w:styleId="1007" w:customStyle="1">
    <w:name w:val="目录 91"/>
    <w:basedOn w:val="720"/>
    <w:next w:val="720"/>
    <w:uiPriority w:val="0"/>
    <w:semiHidden/>
    <w:qFormat/>
    <w:pPr>
      <w:ind w:left="1680"/>
      <w:jc w:val="left"/>
    </w:pPr>
  </w:style>
  <w:style w:type="paragraph" w:styleId="1008" w:customStyle="1">
    <w:name w:val="正文文本 21"/>
    <w:basedOn w:val="720"/>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20"/>
    <w:next w:val="720"/>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72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20"/>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20"/>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20"/>
    <w:next w:val="980"/>
    <w:uiPriority w:val="0"/>
    <w:qFormat/>
    <w:pPr>
      <w:spacing w:after="120"/>
    </w:pPr>
    <w:rPr>
      <w:rFonts w:ascii="宋体" w:hAnsi="Arial"/>
      <w:bCs/>
      <w:iCs/>
      <w:szCs w:val="24"/>
    </w:rPr>
  </w:style>
  <w:style w:type="paragraph" w:styleId="1031"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20"/>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20"/>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20"/>
    <w:next w:val="1003"/>
    <w:uiPriority w:val="0"/>
    <w:qFormat/>
    <w:pPr>
      <w:ind w:firstLine="420"/>
      <w:spacing w:line="360" w:lineRule="auto"/>
    </w:pPr>
    <w:rPr>
      <w:color w:val="ff0000"/>
      <w:sz w:val="24"/>
      <w:szCs w:val="24"/>
    </w:rPr>
  </w:style>
  <w:style w:type="paragraph" w:styleId="1042"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20"/>
    <w:uiPriority w:val="0"/>
    <w:qFormat/>
    <w:pPr>
      <w:spacing w:line="360" w:lineRule="auto"/>
    </w:pPr>
    <w:rPr>
      <w:sz w:val="24"/>
      <w:szCs w:val="20"/>
    </w:rPr>
  </w:style>
  <w:style w:type="paragraph" w:styleId="1044" w:customStyle="1">
    <w:name w:val="样式1"/>
    <w:basedOn w:val="720"/>
    <w:uiPriority w:val="0"/>
    <w:qFormat/>
    <w:pPr>
      <w:numPr>
        <w:ilvl w:val="0"/>
        <w:numId w:val="3"/>
      </w:numPr>
    </w:pPr>
    <w:rPr>
      <w:rFonts w:ascii="宋体" w:hAnsi="宋体"/>
    </w:rPr>
  </w:style>
  <w:style w:type="paragraph" w:styleId="1045"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49"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20"/>
    <w:uiPriority w:val="0"/>
    <w:qFormat/>
    <w:pPr>
      <w:jc w:val="left"/>
      <w:spacing w:before="120"/>
      <w:widowControl/>
    </w:pPr>
    <w:rPr>
      <w:bCs/>
      <w:sz w:val="20"/>
      <w:szCs w:val="20"/>
      <w:lang w:val="de-DE" w:eastAsia="de-DE"/>
    </w:rPr>
  </w:style>
  <w:style w:type="paragraph" w:styleId="1057"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20"/>
    <w:next w:val="720"/>
    <w:uiPriority w:val="99"/>
    <w:qFormat/>
    <w:rPr>
      <w:rFonts w:ascii="宋体"/>
      <w:sz w:val="24"/>
      <w:szCs w:val="20"/>
    </w:rPr>
  </w:style>
  <w:style w:type="paragraph" w:styleId="1062" w:customStyle="1">
    <w:name w:val="目录 111"/>
    <w:basedOn w:val="720"/>
    <w:next w:val="720"/>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15</cp:revision>
  <dcterms:created xsi:type="dcterms:W3CDTF">2025-05-16T02:17:00Z</dcterms:created>
  <dcterms:modified xsi:type="dcterms:W3CDTF">2025-11-27T07:28:51Z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3C4E384858C94AFB8BD0FB13019F1A43_13</vt:lpwstr>
  </property>
  <property fmtid="{D5CDD505-2E9C-101B-9397-08002B2CF9AE}" pid="4" name="KSOTemplateDocerSaveRecord">
    <vt:lpwstr>eyJoZGlkIjoiYWEwNDBkZDVjMDI2NzVhN2Q2ZjdkYzk3NDg0ZWQ4YWQiLCJ1c2VySWQiOiI1Mzk3NjA2MDAifQ==</vt:lpwstr>
  </property>
</Properties>
</file>